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9340" w14:textId="77777777" w:rsidR="0098787B" w:rsidRDefault="0098787B" w:rsidP="0098787B">
      <w:pPr>
        <w:spacing w:after="0" w:line="240" w:lineRule="auto"/>
        <w:jc w:val="center"/>
        <w:outlineLvl w:val="0"/>
        <w:rPr>
          <w:rFonts w:eastAsia="Times New Roman" w:cs="Times New Roman"/>
          <w:b/>
          <w:bCs/>
          <w:color w:val="2673B4"/>
          <w:kern w:val="36"/>
          <w:sz w:val="32"/>
          <w:szCs w:val="32"/>
          <w14:ligatures w14:val="none"/>
        </w:rPr>
      </w:pPr>
      <w:r w:rsidRPr="0098787B">
        <w:rPr>
          <w:rFonts w:eastAsia="Times New Roman" w:cs="Times New Roman"/>
          <w:b/>
          <w:bCs/>
          <w:color w:val="2673B4"/>
          <w:kern w:val="36"/>
          <w:sz w:val="32"/>
          <w:szCs w:val="32"/>
          <w14:ligatures w14:val="none"/>
        </w:rPr>
        <w:t xml:space="preserve">Tăng cường phòng ngừa, xử lý hoạt động lừa đảo </w:t>
      </w:r>
    </w:p>
    <w:p w14:paraId="117796F9" w14:textId="010BC860" w:rsidR="0098787B" w:rsidRDefault="0098787B" w:rsidP="0098787B">
      <w:pPr>
        <w:spacing w:after="0" w:line="240" w:lineRule="auto"/>
        <w:jc w:val="center"/>
        <w:outlineLvl w:val="0"/>
        <w:rPr>
          <w:rFonts w:eastAsia="Times New Roman" w:cs="Times New Roman"/>
          <w:b/>
          <w:bCs/>
          <w:color w:val="2673B4"/>
          <w:kern w:val="36"/>
          <w:sz w:val="32"/>
          <w:szCs w:val="32"/>
          <w14:ligatures w14:val="none"/>
        </w:rPr>
      </w:pPr>
      <w:r w:rsidRPr="0098787B">
        <w:rPr>
          <w:rFonts w:eastAsia="Times New Roman" w:cs="Times New Roman"/>
          <w:b/>
          <w:bCs/>
          <w:color w:val="2673B4"/>
          <w:kern w:val="36"/>
          <w:sz w:val="32"/>
          <w:szCs w:val="32"/>
          <w14:ligatures w14:val="none"/>
        </w:rPr>
        <w:t>chiếm đoạt tài sản</w:t>
      </w:r>
    </w:p>
    <w:p w14:paraId="3C12A912" w14:textId="77777777" w:rsidR="0098787B" w:rsidRPr="0098787B" w:rsidRDefault="0098787B" w:rsidP="0098787B">
      <w:pPr>
        <w:spacing w:after="0" w:line="240" w:lineRule="auto"/>
        <w:jc w:val="center"/>
        <w:outlineLvl w:val="0"/>
        <w:rPr>
          <w:rFonts w:eastAsia="Times New Roman" w:cs="Times New Roman"/>
          <w:b/>
          <w:bCs/>
          <w:color w:val="2673B4"/>
          <w:kern w:val="36"/>
          <w:sz w:val="32"/>
          <w:szCs w:val="32"/>
          <w14:ligatures w14:val="none"/>
        </w:rPr>
      </w:pPr>
    </w:p>
    <w:p w14:paraId="6E5AEFA4"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444444"/>
          <w:sz w:val="26"/>
          <w:szCs w:val="26"/>
        </w:rPr>
        <w:t>Thủ tướng Chính phủ Nguyễn Xuân Phúc vừa ban hành Chỉ thị 21/CT-TTg về tăng cường phòng ngừa, xử lý hoạt động lừa đảo chiếm đoạt tài sản.</w:t>
      </w:r>
    </w:p>
    <w:p w14:paraId="31A8644F"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Chỉ thị nêu rõ thời gian qua, tình hình tội phạm và vi phạm pháp luật liên quan đến hoạt động lừa đảo chiếm đoạt tài sản xảy ra tại nhiều địa phương, gây bức xúc trong dư luận xã hội, ảnh hưởng đến an ninh, trật tự, hoạt động sản xuất, kinh doanh của doanh nghiệp và đời sống nhân dân. Trong đó, xuất hiện các hình thức lừa đảo chiếm đoạt tài sản trên nhiều lĩnh vực của đời sống xã hội như tài chính, </w:t>
      </w:r>
      <w:hyperlink r:id="rId4" w:history="1">
        <w:r w:rsidRPr="0098787B">
          <w:rPr>
            <w:rStyle w:val="Hyperlink"/>
            <w:sz w:val="26"/>
            <w:szCs w:val="26"/>
            <w:u w:val="none"/>
          </w:rPr>
          <w:t>ngân hàng</w:t>
        </w:r>
      </w:hyperlink>
      <w:r w:rsidRPr="0098787B">
        <w:rPr>
          <w:color w:val="111111"/>
          <w:sz w:val="26"/>
          <w:szCs w:val="26"/>
        </w:rPr>
        <w:t>, bất động sản, </w:t>
      </w:r>
      <w:hyperlink r:id="rId5" w:history="1">
        <w:r w:rsidRPr="0098787B">
          <w:rPr>
            <w:rStyle w:val="Hyperlink"/>
            <w:sz w:val="26"/>
            <w:szCs w:val="26"/>
            <w:u w:val="none"/>
          </w:rPr>
          <w:t>dự án</w:t>
        </w:r>
      </w:hyperlink>
      <w:r w:rsidRPr="0098787B">
        <w:rPr>
          <w:color w:val="111111"/>
          <w:sz w:val="26"/>
          <w:szCs w:val="26"/>
        </w:rPr>
        <w:t> </w:t>
      </w:r>
      <w:hyperlink r:id="rId6" w:history="1">
        <w:r w:rsidRPr="0098787B">
          <w:rPr>
            <w:rStyle w:val="Hyperlink"/>
            <w:sz w:val="26"/>
            <w:szCs w:val="26"/>
            <w:u w:val="none"/>
          </w:rPr>
          <w:t>đầu tư</w:t>
        </w:r>
      </w:hyperlink>
      <w:r w:rsidRPr="0098787B">
        <w:rPr>
          <w:color w:val="111111"/>
          <w:sz w:val="26"/>
          <w:szCs w:val="26"/>
        </w:rPr>
        <w:t>, môi giới việc làm, đưa người đi lao động, học tập tại nước ngoài, kinh doanh đa cấp, thương mại điện tử... đặc biệt là lừa đảo chiếm đoạt tài sản trên không gian mạng diễn biến phức tạp và có chiều hướng gia tăng.</w:t>
      </w:r>
    </w:p>
    <w:p w14:paraId="241CFCBF"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Các đối tượng sử dụng nhiều thủ đoạn tinh vi như giả danh cơ quan thực thi pháp luật, cán bộ cơ quan nhà nước, quen biết qua mạng xã hội, lợi dụng quan hệ tình cảm, trao đổi, mua bán hàng hóa qua mạng, tin nhắn “rác”, tin nhắn trúng thưởng, xin việc làm, xuất khẩu lao động, “chạy” dự án, vay vốn; kêu gọi đầu tư, tài trợ, đầu tư kinh doanh đa cấp, tiền ảo, thiết lập các trang mạng ngân hàng giả mạo để lấy dữ liệu thông tin khách hàng, đánh tráo hồ sơ, sử dụng giấy tờ giả mở tài khoản, giả mạo chứng từ để chuyển tiền, rút tiền, vay tiền, làm giả cổ vật, đá quý, kim loại quý; lợi dụng hoạt động họ, hụi, phường, phòng và chống dịch bệnh…</w:t>
      </w:r>
    </w:p>
    <w:p w14:paraId="07190142"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Trong khi hoạt động lừa đảo chiếm đoạt tài sản, các đối tượng thường xuyên thay đổi thông tin cá nhân, số điện thoại, tài khoản ngân hàng, tài khoản mạng xã hội, sử dụng tài khoản ảo, thay đổi địa bàn hoạt động, cư trú nhằm đối phó với công tác phòng ngừa, xử lý của cơ quan chức năng.</w:t>
      </w:r>
    </w:p>
    <w:p w14:paraId="6551FA98"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b/>
          <w:bCs/>
          <w:color w:val="111111"/>
          <w:sz w:val="26"/>
          <w:szCs w:val="26"/>
        </w:rPr>
        <w:t>Toàn dân tham gia phòng, chống tội phạm</w:t>
      </w:r>
    </w:p>
    <w:p w14:paraId="15078D36"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Để phòng ngừa, ngăn chặn hoạt động lừa đảo chiếm đoạt tài sản, bảo đảm an ninh, trật tự, Thủ tướng Chính phủ yêu cầu các bộ, cơ quan ngang bộ, cơ quan thuộc Chính phủ, Ủy ban nhân dân tỉnh, thành phố trực thuộc Trung ương tiếp tục quán triệt thực hiện nghiêm Kết luận số 05-KL/TW ngày 15 tháng 7 năm 2016 của Ban Bí thư về tiếp tục đẩy mạnh thực hiện Chỉ thị số 48-CT/TW của Bộ Chính trị khóa X về “Tăng cường sự lãnh đạo của Đảng đối với công tác phòng, chống tội phạm trong tình hình mới”; Kết luận số 44-KL/TW ngày 22 tháng 1 năm 2019 của Ban Bí thư về tiếp tục đẩy mạnh thực hiện Chỉ thị số 09-CT/TW của Ban Bí thư khoá XI về “Tăng cường sự lãnh đạo của Đảng đối với phong trào toàn dân bảo vệ an ninh Tổ quốc trong tình hình mới”.</w:t>
      </w:r>
    </w:p>
    <w:p w14:paraId="5DC10AFC"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Các cơ quan, địa phương cần tăng cường tuyên truyền phổ biến chủ trương, chính sách, pháp luật và chế tài xử lý đối với tội phạm và các vi phạm pháp luật liên quan đến hoạt động lừa đảo chiếm đoạt tài sản; thông tin rộng rãi, kịp thời, công khai, minh bạch trong nhân dân về chủ trương phát triển </w:t>
      </w:r>
      <w:hyperlink r:id="rId7" w:history="1">
        <w:r w:rsidRPr="0098787B">
          <w:rPr>
            <w:rStyle w:val="Hyperlink"/>
            <w:sz w:val="26"/>
            <w:szCs w:val="26"/>
            <w:u w:val="none"/>
          </w:rPr>
          <w:t>kinh tế</w:t>
        </w:r>
      </w:hyperlink>
      <w:r w:rsidRPr="0098787B">
        <w:rPr>
          <w:color w:val="111111"/>
          <w:sz w:val="26"/>
          <w:szCs w:val="26"/>
        </w:rPr>
        <w:t>, an sinh xã hội, dự án </w:t>
      </w:r>
      <w:hyperlink r:id="rId8" w:history="1">
        <w:r w:rsidRPr="0098787B">
          <w:rPr>
            <w:rStyle w:val="Hyperlink"/>
            <w:sz w:val="26"/>
            <w:szCs w:val="26"/>
            <w:u w:val="none"/>
          </w:rPr>
          <w:t>bất động sản</w:t>
        </w:r>
      </w:hyperlink>
      <w:r w:rsidRPr="0098787B">
        <w:rPr>
          <w:color w:val="111111"/>
          <w:sz w:val="26"/>
          <w:szCs w:val="26"/>
        </w:rPr>
        <w:t xml:space="preserve">, quy hoạch xây dựng… tuyên truyền, thông báo về hành vi, thủ đoạn hoạt động lừa đảo chiếm đoạt tài sản gắn với các vụ việc, vụ án cụ thể mang tính điển hình để người dân chấp </w:t>
      </w:r>
      <w:r w:rsidRPr="0098787B">
        <w:rPr>
          <w:color w:val="111111"/>
          <w:sz w:val="26"/>
          <w:szCs w:val="26"/>
        </w:rPr>
        <w:lastRenderedPageBreak/>
        <w:t>hành pháp luật, đề cao cảnh giác, tăng cường các biện pháp quản lý tự phòng ngừa, bảo vệ tài sản...</w:t>
      </w:r>
    </w:p>
    <w:p w14:paraId="51CF527E"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b/>
          <w:bCs/>
          <w:color w:val="111111"/>
          <w:sz w:val="26"/>
          <w:szCs w:val="26"/>
        </w:rPr>
        <w:t>Làm tốt công tác phòng ngừa xã hội</w:t>
      </w:r>
    </w:p>
    <w:p w14:paraId="199C89A9"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Thủ tướng Chính phủ chỉ thị Bộ Công an tham mưu cho Ban Chỉ đạo 138 chỉ đạo, kiểm tra, đôn đốc, hướng dẫn các bộ, ngành, đoàn thể, Ủy ban Nhân dân tỉnh, thành phố trực thuộc Trung ương tăng cường phòng ngừa, xử lý hoạt động lừa đảo chiếm đoạt tài sản.</w:t>
      </w:r>
    </w:p>
    <w:p w14:paraId="2559E2BA"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Bộ Công an có trách nhiệm phối hợp chặt chẽ các bộ, ngành, đoàn thể, địa phương làm tốt công tác phòng ngừa xã hội, tiếp tục đổi mới nội dung, biện pháp xây dựng, phát triển phong trào toàn dân bảo vệ an ninh Tổ quốc gắn với phát triển kinh tế-xã hội và phòng, chống tội phạm nói chung, tội phạm lừa đảo chiếm đoạt tài sản nói riêng.</w:t>
      </w:r>
    </w:p>
    <w:p w14:paraId="045BB43E"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Đẩy mạnh tuyên truyền, phổ biến phương thức, thủ đoạn, hậu quả do hành vi lừa đảo chiếm đoạt tài sản gây ra và các quy định của pháp luật có liên quan để nâng cao ý thức cảnh giác của người dân, </w:t>
      </w:r>
      <w:hyperlink r:id="rId9" w:history="1">
        <w:r w:rsidRPr="0098787B">
          <w:rPr>
            <w:rStyle w:val="Hyperlink"/>
            <w:sz w:val="26"/>
            <w:szCs w:val="26"/>
            <w:u w:val="none"/>
          </w:rPr>
          <w:t>doanh nghiệp</w:t>
        </w:r>
      </w:hyperlink>
      <w:r w:rsidRPr="0098787B">
        <w:rPr>
          <w:color w:val="111111"/>
          <w:sz w:val="26"/>
          <w:szCs w:val="26"/>
        </w:rPr>
        <w:t>.</w:t>
      </w:r>
    </w:p>
    <w:p w14:paraId="4D1E6A9E" w14:textId="77777777" w:rsidR="0098787B" w:rsidRPr="0098787B" w:rsidRDefault="0098787B" w:rsidP="0098787B">
      <w:pPr>
        <w:pStyle w:val="NormalWeb"/>
        <w:shd w:val="clear" w:color="auto" w:fill="FFFFFF"/>
        <w:spacing w:before="0" w:beforeAutospacing="0" w:after="0"/>
        <w:ind w:firstLine="851"/>
        <w:jc w:val="both"/>
        <w:rPr>
          <w:color w:val="212529"/>
          <w:sz w:val="26"/>
          <w:szCs w:val="26"/>
        </w:rPr>
      </w:pPr>
      <w:r w:rsidRPr="0098787B">
        <w:rPr>
          <w:color w:val="111111"/>
          <w:sz w:val="26"/>
          <w:szCs w:val="26"/>
        </w:rPr>
        <w:t>Bộ Công an cần chủ trì, phối hợp các bộ, ngành, địa phương rà soát, xác định những sơ hở, thiếu sót trong công tác quản lý nhà nước về an ninh, trật tự, các văn bản quy phạm pháp luật có liên quan gây vướng mắc trong công tác phòng ngừa, xử lý vi phạm liên quan đến lừa đảo chiếm đoạt tài sản, kịp thời tham mưu, kiến nghị và đề ra các giải pháp khắc phục; chỉ đạo Công an các đơn vị, địa phương đẩy mạnh công tác nắm tình hình, quản lý chặt chẽ các đối tượng có biểu hiện nghi vấn hoạt động liên quan đến lừa đảo chiếm đoạt tài sản; mở các đợt cao điểm tấn công, trấn áp tội phạm, trong đó có tội phạm lừa đảo chiếm đoạt tài sản, đặc biệt là tội phạm lừa đảo chiếm đoạt tài sản trên không gian mạng; tập trung điều tra, khởi tố, xử lý các hành vi lừa đảo chiếm đoạt tài sản, triệt để thu hồi tài sản bị chiếm đoạt.</w:t>
      </w:r>
    </w:p>
    <w:p w14:paraId="22ECFCCD"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Bộ Công an cần thực hiện nghiêm quy định của Bộ luật Tố tụng hình sự và các văn bản hướng dẫn liên quan về tiếp nhận, giải quyết tố giác, tin báo về tội phạm, kiến nghị khởi tố, nhất là các nguồn tin liên quan đến tội phạm lừa đảo chiếm đoạt tài sản; mở rộng, nâng cao hiệu quả hợp tác quốc tế trong đấu tranh phòng, chống tội phạm nói chung, tội phạm lừa đảo chiếm đoạt tài sản nói riêng, phối hợp trao đổi thông tin, nâng cao năng lực điều tra, thu hồi tài sản, bắt giữ tội phạm lừa đảo chiếm đoạt tài sản trốn ra nước ngoài...</w:t>
      </w:r>
    </w:p>
    <w:p w14:paraId="78AB104C"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b/>
          <w:bCs/>
          <w:color w:val="111111"/>
          <w:sz w:val="26"/>
          <w:szCs w:val="26"/>
        </w:rPr>
        <w:t>Xử lý nghiêm hành vi tiếp tay cho hoạt động lừa đảo chiếm đoạt tài sản</w:t>
      </w:r>
    </w:p>
    <w:p w14:paraId="559D2CEB"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Bộ Tư pháp có trách nhiệm chỉ đạo Sở Tư pháp địa phương quán triệt công chứng viên, người thực hiện công chứng, chứng thực, thừa phát lại tuân thủ nguyên tắc hành nghề, thực hiện đúng thẩm quyền và trách nhiệm theo quy định của pháp luật; xử lý nghiêm hành vi tiếp tay cho hoạt động lừa đảo chiếm đoạt tài sản, bảo vệ quyền, lợi ích hợp pháp của Nhà nước, tổ chức và cá nhân.</w:t>
      </w:r>
    </w:p>
    <w:p w14:paraId="09D11036"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 xml:space="preserve">Bộ Thông tin và Truyền thông cần chỉ đạo, hướng dẫn các cơ quan báo chí và hệ thống thông tin cơ sở, các Sở Thông tin và Truyền thông tăng cường công tác thông tin, tuyên truyền về phương thức, thủ đoạn, hậu quả của tội phạm và vi phạm pháp luật liên </w:t>
      </w:r>
      <w:r w:rsidRPr="0098787B">
        <w:rPr>
          <w:color w:val="111111"/>
          <w:sz w:val="26"/>
          <w:szCs w:val="26"/>
        </w:rPr>
        <w:lastRenderedPageBreak/>
        <w:t>quan đến hoạt động lừa đảo chiếm đoạt tài sản, kết quả phòng ngừa, xử lý của các lực lượng chức năng để người dân nâng cao nhận thức, kịp thời cung cấp thông tin, tố giác hành vi lừa đảo chiếm đoạt tài sản...</w:t>
      </w:r>
    </w:p>
    <w:p w14:paraId="34679D1E"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Bộ Thông tin và Truyền thông có trách nhiệm phối hợp với Bộ Công an, Ngân hàng Nhà nước Việt Nam và các cơ quan liên quan tăng cường thanh tra, kiểm tra, xử lý, giám sát các trang thông tin điện tử, tài khoản mạng xã hội của các tổ chức, cá nhân có hành vi huy động vốn, đầu tư trái phép, đổi tiền qua trung gian, quảng cáo mua bán hàng hóa, dịch vụ mua hộ hàng hóa, giới thiệu, quảng cáo đăng tin trên báo chí, trang thông tin điện tử, mạng xã hội, xuất bản phẩm, quảng cáo... tích hợp trên các sản phẩm dịch vụ bưu chính, viễn thông, công nghệ thông tin phòng ngừa hoạt động lừa đảo chiếm đoạt tài sản.</w:t>
      </w:r>
    </w:p>
    <w:p w14:paraId="060355E7"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b/>
          <w:bCs/>
          <w:color w:val="111111"/>
          <w:sz w:val="26"/>
          <w:szCs w:val="26"/>
        </w:rPr>
        <w:t>Tăng cường quản lý hoạt động kinh doanh đa cấp</w:t>
      </w:r>
    </w:p>
    <w:p w14:paraId="490335C4"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Bộ Công Thương cần thường xuyên kiểm tra về nội dung, điều kiện hoạt động của các doanh nghiệp, nhất là trong lĩnh vực thương mại điện tử; quản lý, giám sát hoạt động thương mại điện tử và các mô hình hoạt động kinh doanh trên ứng dụng công nghệ số, phòng ngừa hoạt động lừa đảo chiếm đoạt tài sản; tăng cường công tác quản lý nhà nước đối với hoạt động kinh doanh theo phương thức đa cấp; phối hợp các bộ, ngành kiểm tra các hoạt động kinh doanh theo phương thức đa cấp, kịp thời phát hiện dấu hiệu vi phạm pháp luật để có biện pháp xử lý.</w:t>
      </w:r>
    </w:p>
    <w:p w14:paraId="1B32788C"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Bộ Kế hoạch và Đầu tư cần chỉ đạo các cơ quan, đơn vị chức năng phối hợp chặt chẽ với lực lượng Công an các cấp kịp thời phát hiện, xử lý các sai phạm liên quan đến đăng ký doanh nghiệp, hộ kinh doanh các loại hình kinh doanh dịch vụ như công ty </w:t>
      </w:r>
      <w:hyperlink r:id="rId10" w:history="1">
        <w:r w:rsidRPr="0098787B">
          <w:rPr>
            <w:rStyle w:val="Hyperlink"/>
            <w:sz w:val="26"/>
            <w:szCs w:val="26"/>
            <w:u w:val="none"/>
          </w:rPr>
          <w:t>tài chính</w:t>
        </w:r>
      </w:hyperlink>
      <w:r w:rsidRPr="0098787B">
        <w:rPr>
          <w:color w:val="111111"/>
          <w:sz w:val="26"/>
          <w:szCs w:val="26"/>
        </w:rPr>
        <w:t>, cầm đồ, môi giới việc làm, nhà đất, du học, đưa người đi lao động ở nước ngoài, thương mại và thanh toán điện tử… để phòng ngừa hoạt động lừa đảo chiếm đoạt tài sản.</w:t>
      </w:r>
    </w:p>
    <w:p w14:paraId="7A474C40"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Bộ Tài chính cần chủ động phòng ngừa hoạt động lừa đảo chiếm đoạt tài sản trong lĩnh vực tài chính, chứng khoán…; thực hiện nghiêm các quy định của Bộ luật Tố tụng hình sự và các văn bản hướng dẫn thi hành liên quan đến định giá tài sản, giám định tư pháp trong lĩnh vực tài chính, bảo đảm căn cứ để khởi tố, điều tra, xử lý tội phạm lừa đảo chiếm đoạt tài sản.</w:t>
      </w:r>
    </w:p>
    <w:p w14:paraId="1C4538B3"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Ngân hàng Nhà nước Việt Nam cần nghiên cứu, rà soát, sửa đổi, bổ sung hoặc ban hành mới các quy định đối với việc ứng dụng các phương tiện thanh toán mới, tiên tiến, bảo đảm chặt chẽ, an toàn; tăng cường kiểm tra, phát hiện kịp thời các hành vi gian lận, không đúng quy định pháp luật về hoạt động thanh toán, trung gian thanh toán, phòng ngừa đối tượng lợi dụng để thực hiện hành vi vi phạm pháp luật; khắc phục những sơ hở, thiếu sót trong các hoạt động như cho vay, thanh toán, chuyển tiền, nhận tiền…</w:t>
      </w:r>
    </w:p>
    <w:p w14:paraId="269CF1D6"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t>Ngân hàng Nhà nước Việt Nam cần phối hợp Bộ Công an và các bộ, ngành liên quan trong công tác xác minh, xử lý tội phạm; kịp thời có biện pháp phong tỏa, ngăn chặn việc tẩu tán tài sản trong các vụ việc, vụ án; phối hợp các bộ, ngành liên quan nghiên cứu, đề xuất Chính phủ, Thủ tướng Chính phủ và các cơ quan có thẩm quyền về cơ chế thí điểm quản lý hoạt động cho vay ngang hàng (P2P Lending), các hình thức thanh toán mới chưa có quy định của pháp luật.</w:t>
      </w:r>
    </w:p>
    <w:p w14:paraId="6DF66B2B" w14:textId="77777777" w:rsidR="0098787B" w:rsidRPr="0098787B" w:rsidRDefault="0098787B" w:rsidP="0098787B">
      <w:pPr>
        <w:pStyle w:val="NormalWeb"/>
        <w:shd w:val="clear" w:color="auto" w:fill="FFFFFF"/>
        <w:spacing w:before="0" w:beforeAutospacing="0" w:after="0"/>
        <w:ind w:firstLine="720"/>
        <w:jc w:val="both"/>
        <w:rPr>
          <w:color w:val="212529"/>
          <w:sz w:val="26"/>
          <w:szCs w:val="26"/>
        </w:rPr>
      </w:pPr>
      <w:r w:rsidRPr="0098787B">
        <w:rPr>
          <w:color w:val="111111"/>
          <w:sz w:val="26"/>
          <w:szCs w:val="26"/>
        </w:rPr>
        <w:lastRenderedPageBreak/>
        <w:t>Ủy ban nhân dân các tỉnh, thành phố trực thuộc Trung ương có trách nhiệm chỉ đạo, ban hành cơ chế, chính sách an sinh xã hội, xây dựng nông thôn mới, xóa đói giảm nghèo, tạo việc làm cho người lao động, phòng ngừa tội phạm và các hành vi vi phạm pháp luật, tệ nạn xã hội nói chung và tội phạm lừa đảo chiếm đoạt tài sản nói riêng.</w:t>
      </w:r>
    </w:p>
    <w:p w14:paraId="217A34F4" w14:textId="77777777" w:rsidR="0098787B" w:rsidRPr="0098787B" w:rsidRDefault="0098787B" w:rsidP="000A4012">
      <w:pPr>
        <w:pStyle w:val="NormalWeb"/>
        <w:shd w:val="clear" w:color="auto" w:fill="FFFFFF"/>
        <w:spacing w:before="0" w:beforeAutospacing="0" w:after="0"/>
        <w:ind w:left="5040" w:firstLine="720"/>
        <w:jc w:val="both"/>
        <w:rPr>
          <w:color w:val="212529"/>
          <w:sz w:val="26"/>
          <w:szCs w:val="26"/>
        </w:rPr>
      </w:pPr>
      <w:r w:rsidRPr="0098787B">
        <w:rPr>
          <w:color w:val="212529"/>
          <w:sz w:val="26"/>
          <w:szCs w:val="26"/>
        </w:rPr>
        <w:t>Anh Ngọc (baodautu.vn)</w:t>
      </w:r>
    </w:p>
    <w:p w14:paraId="6B5A3564" w14:textId="77777777" w:rsidR="00795D6A" w:rsidRPr="0098787B" w:rsidRDefault="00795D6A">
      <w:pPr>
        <w:rPr>
          <w:rFonts w:cs="Times New Roman"/>
          <w:sz w:val="26"/>
          <w:szCs w:val="26"/>
        </w:rPr>
      </w:pPr>
    </w:p>
    <w:sectPr w:rsidR="00795D6A" w:rsidRPr="0098787B" w:rsidSect="00164CF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7B"/>
    <w:rsid w:val="000A4012"/>
    <w:rsid w:val="00164CFF"/>
    <w:rsid w:val="001F571B"/>
    <w:rsid w:val="00795D6A"/>
    <w:rsid w:val="0098787B"/>
    <w:rsid w:val="00B4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060F"/>
  <w15:chartTrackingRefBased/>
  <w15:docId w15:val="{891E3288-2F9A-4465-A695-DF569AD4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787B"/>
    <w:pPr>
      <w:spacing w:before="100" w:beforeAutospacing="1" w:after="100" w:afterAutospacing="1" w:line="240" w:lineRule="auto"/>
      <w:outlineLvl w:val="0"/>
    </w:pPr>
    <w:rPr>
      <w:rFonts w:eastAsia="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87B"/>
    <w:rPr>
      <w:rFonts w:eastAsia="Times New Roman" w:cs="Times New Roman"/>
      <w:b/>
      <w:bCs/>
      <w:kern w:val="36"/>
      <w:sz w:val="48"/>
      <w:szCs w:val="48"/>
      <w14:ligatures w14:val="none"/>
    </w:rPr>
  </w:style>
  <w:style w:type="paragraph" w:styleId="NormalWeb">
    <w:name w:val="Normal (Web)"/>
    <w:basedOn w:val="Normal"/>
    <w:uiPriority w:val="99"/>
    <w:semiHidden/>
    <w:unhideWhenUsed/>
    <w:rsid w:val="0098787B"/>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987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16204">
      <w:bodyDiv w:val="1"/>
      <w:marLeft w:val="0"/>
      <w:marRight w:val="0"/>
      <w:marTop w:val="0"/>
      <w:marBottom w:val="0"/>
      <w:divBdr>
        <w:top w:val="none" w:sz="0" w:space="0" w:color="auto"/>
        <w:left w:val="none" w:sz="0" w:space="0" w:color="auto"/>
        <w:bottom w:val="none" w:sz="0" w:space="0" w:color="auto"/>
        <w:right w:val="none" w:sz="0" w:space="0" w:color="auto"/>
      </w:divBdr>
    </w:div>
    <w:div w:id="13238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utubds.baodautu.vn/thi-truong--nhan-dinh-c31/" TargetMode="External"/><Relationship Id="rId3" Type="http://schemas.openxmlformats.org/officeDocument/2006/relationships/webSettings" Target="webSettings.xml"/><Relationship Id="rId7" Type="http://schemas.openxmlformats.org/officeDocument/2006/relationships/hyperlink" Target="https://baodautu.vn/thoi-su-d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odautu.vn/" TargetMode="External"/><Relationship Id="rId11" Type="http://schemas.openxmlformats.org/officeDocument/2006/relationships/fontTable" Target="fontTable.xml"/><Relationship Id="rId5" Type="http://schemas.openxmlformats.org/officeDocument/2006/relationships/hyperlink" Target="https://baodautu.vn/dau-tu-d2/" TargetMode="External"/><Relationship Id="rId10" Type="http://schemas.openxmlformats.org/officeDocument/2006/relationships/hyperlink" Target="https://baodautu.vn/tai-chinh-bao-hiem-d6/" TargetMode="External"/><Relationship Id="rId4" Type="http://schemas.openxmlformats.org/officeDocument/2006/relationships/hyperlink" Target="http://infomoney.vn/" TargetMode="External"/><Relationship Id="rId9" Type="http://schemas.openxmlformats.org/officeDocument/2006/relationships/hyperlink" Target="https://baodautu.vn/doanh-nghiep-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1478</Words>
  <Characters>8431</Characters>
  <Application>Microsoft Office Word</Application>
  <DocSecurity>0</DocSecurity>
  <Lines>70</Lines>
  <Paragraphs>19</Paragraphs>
  <ScaleCrop>false</ScaleCrop>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tin</dc:creator>
  <cp:keywords/>
  <dc:description/>
  <cp:lastModifiedBy>nguyen tin</cp:lastModifiedBy>
  <cp:revision>2</cp:revision>
  <dcterms:created xsi:type="dcterms:W3CDTF">2024-12-06T13:57:00Z</dcterms:created>
  <dcterms:modified xsi:type="dcterms:W3CDTF">2024-12-06T14:03:00Z</dcterms:modified>
</cp:coreProperties>
</file>